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обучающихся по ФАОП ООО для обучающихся с ТНР 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(вариант 5.2) представлен следующий федеральный учебный план: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7.999999999998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985"/>
        <w:gridCol w:w="2126"/>
        <w:gridCol w:w="709"/>
        <w:gridCol w:w="709"/>
        <w:gridCol w:w="708"/>
        <w:gridCol w:w="709"/>
        <w:gridCol w:w="709"/>
        <w:gridCol w:w="709"/>
        <w:gridCol w:w="1134"/>
        <w:tblGridChange w:id="0">
          <w:tblGrid>
            <w:gridCol w:w="1985"/>
            <w:gridCol w:w="2126"/>
            <w:gridCol w:w="709"/>
            <w:gridCol w:w="709"/>
            <w:gridCol w:w="708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Предметные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области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Учебные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предметы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/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Классы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Количество часов в неделю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Всего за пять/ шесть лет обучения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Обязательная часть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Русский язык и 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22/25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Развитие речи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7/8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13/16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Иностранные языки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Иностранный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8/10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Математика и информатика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10/10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9/12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6/8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Вероятность и статистика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3/4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3/4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Общественно-научные предметы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История России. Всеобщая 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10/12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4/5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8/10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Естественно-научные предметы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6/8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4/6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7/9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Основы духовно-нравственной культуры народов России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ОДНКНР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1/1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Изобразительное 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6/6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Физическая культура и Основы безопасности жизнедеятельности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Адаптивная 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10/12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144/173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Часть, формируемая участниками образовательных отношений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5/6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Максимально допустимая недельная нагрузка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149/179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Учебные недели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Всего часов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5066/</w:t>
            </w:r>
          </w:p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6086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Внеурочная деятельность: коррекционно-развивающие курсы по “Программе коррекционной работы”; занятия по различным направлениям внеурочной деятельности (включая коррекционно-развивающие курсы)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50/60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Коррекционно-развивающие курсы по “Программе коррекционной работы”АООП ООО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25/30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Индивидуальные и групповые логопедические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10/12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Другие коррекционно-развивающие курсы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15/18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Занятия по другим направлениям внеурочной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25/30</w:t>
            </w:r>
          </w:p>
        </w:tc>
      </w:tr>
    </w:tbl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ZmDcsHfaqQHxXZcdfLV7sq1aA==">CgMxLjAyCGguZ2pkZ3hzOAByITExU1p2a3VJVmtCSkxkZmlHN1VLUkthajgyR1N4M0tWTA==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2024-07-22T11:41:00Z</dcterms:created>
  <dc:creator>ЦОС5</dc:creator>
</cp:coreProperties>
</file>